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color w:val="0000ff"/>
          <w:sz w:val="20"/>
          <w:szCs w:val="20"/>
        </w:rPr>
      </w:pPr>
      <w:r w:rsidDel="00000000" w:rsidR="00000000" w:rsidRPr="00000000">
        <w:rPr>
          <w:rFonts w:ascii="Verdana" w:cs="Verdana" w:eastAsia="Verdana" w:hAnsi="Verdana"/>
          <w:b w:val="1"/>
          <w:bCs w:val="1"/>
          <w:color w:val="0000ff"/>
          <w:sz w:val="20"/>
          <w:szCs w:val="20"/>
          <w:rtl w:val="0"/>
        </w:rPr>
        <w:t xml:space="preserve">Protocol Aannamebeleid ‘Zij-instromers’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Wanneer een kind niet op de reguliere weg via de instroom bij de kleuters aangemeld wordt op onze school hebben wij de volgende procedure: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Ouders nemen contact met onze school op en informeren of er een plek is. Op onze website is eventueel te vinden in welke groepen plaats is. In principe nemen wij aan tot 30. De directeur meldt of er een plek beschikbaar is of niet. In niet elke groep is er de mogelijk tot plaatsing ondanks dat een groep wellicht niet ingestroomd is tot 30 vanwege o.a. het gewicht van de zorg in de groep. Een beschikbare plek is slechts een onderdeel van het aannamebeleid; de begeleidingsbehoefte en/of het zorggehalte van de leerling moet ook haalbaar zijn voor school. Ouders wordt verzocht het direct te melden wanneer het kind speciale zorg of begeleiding nodig heeft.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Wanneer de directeur ouders meldt of er een plek beschikbaar is, wordt ouders tegelijkertijd gemeld wat de aanname-procedure is. Er wordt gevraagd naar de reden van de overstap (verhuizing, ontevreden over andere school, etc.) en daar waar wenselijk wordt er een afspraak gemaakt voor een intakegesprek.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Bij het intakegesprek wordt, afhankelijk van de groepssituatie en de reden van aanmelding, een gesprek gevoerd tussen directeur, intern begeleider en ouders.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In het intakegesprek wordt er van beide kanten informatie uitgewisseld. De directeur informeert ouders over de school en en de groep en de ouders informeren school over de reden van de aanmelding. Er wordt ouders in het gesprek gevraagd om eventuele rapporten, onderzoeksverslagen en andere informatie te overleggen. Ook wordt er toestemming gevraagd om contact te leggen met de huidige school van het kind. Als er geen toestemming van ouders is betreffende het overleggen van de informatie of het contact leggen met de huidige school dan is plaatsing van het kind sowieso geen optie.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School informeert via de intern begeleider bij de huidige school naar de leerling. Er wordt gevraagd naar resultaten, SE-ontwikkeling en andere belangrijke informatie over het kind. Rapporten en andere verslagen worden door school bekeken. In het Kernteam (directeur, IB-er en coördinatoren van onder- en bovenbouw wordt aan de hand van de gegeven informatie van de ouders, de huidige school en de groep waarin het kind eventueel geplaatst zou worden een definitieve beslissing genomen over het al dan niet aannemen van het aangemelde kind.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Ouders worden geïnformeerd over de beslissing of het kind toelaatbaar is. Als het kind toelaatbaar is, worden er praktische afspraken gemaakt. Er wordt o.a. aan de huidige school gevraagd om een OSO (Overstapdossier) te sturen.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Als wij het kind niet aannemen, wordt uitleg gegeven aan ouders waarom deze beslissing genomen is. Dit kan, indien ouders dit wenselijk vinden, schriftelijk onderbouwd worden.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Ouders vullen, als het kind geplaatst wordt, een inschrijfformulier in. School zendt een bevestiging.</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 1 Als blijkt binnen 6 weken na de start van de leerling dat ouders informatie betreffende hun kind achtergehouden hebben waardoor school het geplaatste kind niet voldoende kan begeleiden of als het invloed heeft op de klassensituatie dan kan de plaatsing alsnog ongedaan worden gemaakt.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 2 Besluit wordt genomen op grond van de aanname-criteria conform de schoolgids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108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Aantal leerlingen in de groep.</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108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Zorgzwaarte van de groep.</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108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Zorgzwaarte van de nieuwe leerling.</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108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14"/>
          <w:szCs w:val="14"/>
          <w:rtl w:val="0"/>
        </w:rPr>
        <w:t xml:space="preserve">          </w:t>
      </w:r>
      <w:r w:rsidDel="00000000" w:rsidR="00000000" w:rsidRPr="00000000">
        <w:rPr>
          <w:rFonts w:ascii="Verdana" w:cs="Verdana" w:eastAsia="Verdana" w:hAnsi="Verdana"/>
          <w:sz w:val="20"/>
          <w:szCs w:val="20"/>
          <w:rtl w:val="0"/>
        </w:rPr>
        <w:t xml:space="preserve">Haalbaarheid van de zorg voor de nieuwe leerling i.c.m. de huidige groep.</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